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4E3D79">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4E3D79">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4E3D79">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004E3D7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4E3D7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4E3D79">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4E3D79">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4E3D79">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4E3D7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sidR="004E3D79">
        <w:rPr>
          <w:rFonts w:ascii="Times New Roman" w:hAnsi="Times New Roman" w:cs="Times New Roman"/>
          <w:sz w:val="28"/>
          <w:szCs w:val="28"/>
        </w:rPr>
        <w:t xml:space="preserve"> </w:t>
      </w:r>
      <w:r w:rsidR="00AF5E30">
        <w:rPr>
          <w:rFonts w:ascii="Times New Roman" w:hAnsi="Times New Roman" w:cs="Times New Roman"/>
          <w:sz w:val="28"/>
          <w:szCs w:val="28"/>
        </w:rPr>
        <w:t>через</w:t>
      </w:r>
      <w:r w:rsidR="004E3D79">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4E3D79">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4E3D79">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4E3D7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004E3D7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4E3D7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004E3D79">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004E3D79">
        <w:rPr>
          <w:rFonts w:ascii="Times New Roman" w:hAnsi="Times New Roman" w:cs="Times New Roman"/>
          <w:sz w:val="28"/>
          <w:szCs w:val="28"/>
        </w:rPr>
        <w:t xml:space="preserve"> </w:t>
      </w:r>
      <w:r>
        <w:rPr>
          <w:rFonts w:ascii="Times New Roman" w:hAnsi="Times New Roman" w:cs="Times New Roman"/>
          <w:sz w:val="28"/>
          <w:szCs w:val="28"/>
        </w:rPr>
        <w:t>сертификаты</w:t>
      </w:r>
      <w:r w:rsidR="004E3D79">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sidR="004E3D79">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004E3D79">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proofErr w:type="spellStart"/>
        <w:r w:rsidRPr="00DB3F27">
          <w:rPr>
            <w:rStyle w:val="a5"/>
            <w:rFonts w:ascii="Times New Roman" w:hAnsi="Times New Roman" w:cs="Times New Roman"/>
            <w:sz w:val="28"/>
            <w:szCs w:val="28"/>
          </w:rPr>
          <w:t>uc.kadastr.ru</w:t>
        </w:r>
        <w:proofErr w:type="spellEnd"/>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004E3D79">
        <w:rPr>
          <w:rFonts w:ascii="Times New Roman" w:hAnsi="Times New Roman" w:cs="Times New Roman"/>
          <w:sz w:val="28"/>
          <w:szCs w:val="28"/>
        </w:rPr>
        <w:t xml:space="preserve"> </w:t>
      </w:r>
      <w:r>
        <w:rPr>
          <w:rFonts w:ascii="Times New Roman" w:hAnsi="Times New Roman" w:cs="Times New Roman"/>
          <w:sz w:val="28"/>
          <w:szCs w:val="28"/>
        </w:rPr>
        <w:t>понадобятся</w:t>
      </w:r>
      <w:r w:rsidR="004E3D79">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5A00F3">
        <w:rPr>
          <w:rFonts w:ascii="Times New Roman" w:hAnsi="Times New Roman" w:cs="Times New Roman"/>
          <w:sz w:val="28"/>
          <w:szCs w:val="28"/>
        </w:rPr>
        <w:t>физлица</w:t>
      </w:r>
      <w:proofErr w:type="spellEnd"/>
      <w:r w:rsidRPr="005A00F3">
        <w:rPr>
          <w:rFonts w:ascii="Times New Roman" w:hAnsi="Times New Roman" w:cs="Times New Roman"/>
          <w:sz w:val="28"/>
          <w:szCs w:val="28"/>
        </w:rPr>
        <w:t xml:space="preserve">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4E3D79">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004E3D79">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004E3D79">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sidR="004E3D79">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4E3D79"/>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970FC"/>
    <w:rsid w:val="009A0400"/>
    <w:rsid w:val="009E7D38"/>
    <w:rsid w:val="00A955E2"/>
    <w:rsid w:val="00AF06B3"/>
    <w:rsid w:val="00AF165F"/>
    <w:rsid w:val="00AF5E30"/>
    <w:rsid w:val="00BD336E"/>
    <w:rsid w:val="00C00D8B"/>
    <w:rsid w:val="00C17C9D"/>
    <w:rsid w:val="00CA23A7"/>
    <w:rsid w:val="00CB7CA7"/>
    <w:rsid w:val="00CD2DA2"/>
    <w:rsid w:val="00DC2471"/>
    <w:rsid w:val="00F31D09"/>
    <w:rsid w:val="00F37CE2"/>
    <w:rsid w:val="00FB0A29"/>
    <w:rsid w:val="00FD318E"/>
    <w:rsid w:val="00FF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NNLyzar</cp:lastModifiedBy>
  <cp:revision>12</cp:revision>
  <dcterms:created xsi:type="dcterms:W3CDTF">2020-04-21T21:42:00Z</dcterms:created>
  <dcterms:modified xsi:type="dcterms:W3CDTF">2020-04-24T08:34:00Z</dcterms:modified>
</cp:coreProperties>
</file>